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webextensions/taskpanes.xml" ContentType="application/vnd.ms-office.webextensiontaskpan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AC3" w:rsidRPr="00242FB8" w:rsidRDefault="00D53AC3" w:rsidP="00242FB8">
      <w:pPr>
        <w:pStyle w:val="Nadpis1"/>
        <w:jc w:val="center"/>
        <w:rPr>
          <w:rFonts w:eastAsia="Times New Roman"/>
          <w:sz w:val="28"/>
          <w:szCs w:val="28"/>
          <w:lang w:eastAsia="cs-CZ"/>
        </w:rPr>
      </w:pPr>
      <w:r w:rsidRPr="00242FB8">
        <w:rPr>
          <w:rFonts w:eastAsia="Times New Roman"/>
          <w:sz w:val="28"/>
          <w:szCs w:val="28"/>
          <w:lang w:eastAsia="cs-CZ"/>
        </w:rPr>
        <w:t>ATB profylaxe u pacientů před implantací TEP</w:t>
      </w:r>
    </w:p>
    <w:p w:rsidR="00D53AC3" w:rsidRPr="002C0D66" w:rsidRDefault="00D53AC3" w:rsidP="002C0D66">
      <w:pPr>
        <w:spacing w:before="100" w:beforeAutospacing="1" w:after="100" w:afterAutospacing="1"/>
        <w:jc w:val="center"/>
        <w:rPr>
          <w:rFonts w:eastAsia="Times New Roman" w:cstheme="minorHAnsi"/>
          <w:bCs/>
          <w:i/>
          <w:color w:val="000000"/>
          <w:sz w:val="24"/>
          <w:szCs w:val="24"/>
          <w:lang w:eastAsia="cs-CZ"/>
        </w:rPr>
      </w:pPr>
      <w:r w:rsidRPr="002C0D66">
        <w:rPr>
          <w:rFonts w:eastAsia="Times New Roman" w:cstheme="minorHAnsi"/>
          <w:bCs/>
          <w:i/>
          <w:color w:val="000000"/>
          <w:sz w:val="24"/>
          <w:szCs w:val="24"/>
          <w:lang w:eastAsia="cs-CZ"/>
        </w:rPr>
        <w:t>a u pacientů s implantací cizorodého materiálu – osteotomie, osteosyntéza, artroskopie s implantací cizorodého materiálu</w:t>
      </w:r>
    </w:p>
    <w:p w:rsidR="00D53AC3" w:rsidRPr="00D53AC3" w:rsidRDefault="00D53AC3" w:rsidP="00242FB8">
      <w:pPr>
        <w:pStyle w:val="Nadpis1"/>
        <w:rPr>
          <w:rFonts w:eastAsia="Times New Roman"/>
          <w:lang w:eastAsia="cs-CZ"/>
        </w:rPr>
      </w:pPr>
      <w:r w:rsidRPr="00D53AC3">
        <w:rPr>
          <w:rFonts w:eastAsia="Times New Roman"/>
          <w:lang w:eastAsia="cs-CZ"/>
        </w:rPr>
        <w:t>OBECNÁ PRAVIDLA</w:t>
      </w:r>
    </w:p>
    <w:p w:rsidR="00D53AC3" w:rsidRPr="00D53AC3" w:rsidRDefault="00D53AC3" w:rsidP="00D53AC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color w:val="000000"/>
          <w:lang w:eastAsia="cs-CZ"/>
        </w:rPr>
        <w:t>Operace s implantací kloubní náhrady bez pokrytí antibiotiky je považována za postup neslučitelný se správnou klinickou praxí.</w:t>
      </w:r>
    </w:p>
    <w:p w:rsidR="00D53AC3" w:rsidRPr="00D53AC3" w:rsidRDefault="00D53AC3" w:rsidP="00D53AC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Standardem péče (</w:t>
      </w:r>
      <w:r w:rsidRPr="00D53AC3">
        <w:rPr>
          <w:rFonts w:eastAsia="Times New Roman" w:cstheme="minorHAnsi"/>
          <w:b/>
          <w:bCs/>
          <w:i/>
          <w:iCs/>
          <w:color w:val="000000"/>
          <w:lang w:eastAsia="cs-CZ"/>
        </w:rPr>
        <w:t>lege artis</w:t>
      </w:r>
      <w:r w:rsidRPr="00D53AC3">
        <w:rPr>
          <w:rFonts w:eastAsia="Times New Roman" w:cstheme="minorHAnsi"/>
          <w:b/>
          <w:bCs/>
          <w:color w:val="000000"/>
          <w:lang w:eastAsia="cs-CZ"/>
        </w:rPr>
        <w:t>) je podání jedné předoperační dávky (režim „single shot“), která musí být správně načasována a dávkována podle hmotnosti pacienta.</w:t>
      </w:r>
    </w:p>
    <w:p w:rsidR="00D53AC3" w:rsidRPr="00D53AC3" w:rsidRDefault="00D53AC3" w:rsidP="00D53AC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Prodloužený 24hodinový režim podávání antibiotik doporučujeme pouze u rizikových pacientů</w:t>
      </w:r>
      <w:r w:rsidRPr="00D53AC3">
        <w:rPr>
          <w:rFonts w:eastAsia="Times New Roman" w:cstheme="minorHAnsi"/>
          <w:color w:val="000000"/>
          <w:lang w:eastAsia="cs-CZ"/>
        </w:rPr>
        <w:t> (pacienti s imunosupresí, kolonizovaní rizikovými kmeny, onkologičtí pacienti, s těžkým diabetem</w:t>
      </w:r>
      <w:r w:rsidR="002C0D66">
        <w:rPr>
          <w:rFonts w:eastAsia="Times New Roman" w:cstheme="minorHAnsi"/>
          <w:color w:val="000000"/>
          <w:lang w:eastAsia="cs-CZ"/>
        </w:rPr>
        <w:t>, chronické selhání ledvin III-IV st, jaterní selhání Child-Pugh B a C,  malnutrice – hladina serového albumin pod 25 mg/l</w:t>
      </w:r>
      <w:r w:rsidRPr="00D53AC3">
        <w:rPr>
          <w:rFonts w:eastAsia="Times New Roman" w:cstheme="minorHAnsi"/>
          <w:color w:val="000000"/>
          <w:lang w:eastAsia="cs-CZ"/>
        </w:rPr>
        <w:t>).</w:t>
      </w:r>
    </w:p>
    <w:p w:rsidR="00D53AC3" w:rsidRPr="00D53AC3" w:rsidRDefault="00D53AC3" w:rsidP="00D53AC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color w:val="000000"/>
          <w:lang w:eastAsia="cs-CZ"/>
        </w:rPr>
        <w:t>Typ použitého antibiotika závisí na mikrobiální situaci v nemocnici a spádové oblasti, a tak se může lišit od doporučení v tomto metodickém listu.</w:t>
      </w:r>
    </w:p>
    <w:p w:rsidR="00D53AC3" w:rsidRPr="00D53AC3" w:rsidRDefault="00A1414C" w:rsidP="00D53AC3">
      <w:pPr>
        <w:jc w:val="both"/>
        <w:rPr>
          <w:rFonts w:eastAsia="Times New Roman" w:cstheme="minorHAnsi"/>
          <w:lang w:eastAsia="cs-CZ"/>
        </w:rPr>
      </w:pPr>
      <w:r w:rsidRPr="00A1414C">
        <w:rPr>
          <w:rFonts w:eastAsia="Times New Roman" w:cstheme="minorHAnsi"/>
          <w:noProof/>
          <w:lang w:eastAsia="cs-CZ"/>
        </w:rPr>
        <w:pict>
          <v:rect id="_x0000_i1025" alt="" style="width:453.3pt;height:.05pt;mso-width-percent:0;mso-height-percent:0;mso-width-percent:0;mso-height-percent:0" o:hralign="center" o:hrstd="t" o:hr="t" fillcolor="#a0a0a0" stroked="f"/>
        </w:pict>
      </w:r>
    </w:p>
    <w:p w:rsidR="00D53AC3" w:rsidRPr="00D53AC3" w:rsidRDefault="00D53AC3" w:rsidP="00242FB8">
      <w:pPr>
        <w:pStyle w:val="Nadpis1"/>
        <w:rPr>
          <w:rFonts w:eastAsia="Times New Roman"/>
          <w:lang w:eastAsia="cs-CZ"/>
        </w:rPr>
      </w:pPr>
      <w:r w:rsidRPr="00D53AC3">
        <w:rPr>
          <w:rFonts w:eastAsia="Times New Roman"/>
          <w:lang w:eastAsia="cs-CZ"/>
        </w:rPr>
        <w:t>VOLBA ANTIBIOTIKA A PRAVIDLA PODÁNÍ</w:t>
      </w:r>
    </w:p>
    <w:p w:rsidR="00D53AC3" w:rsidRPr="00D53AC3" w:rsidRDefault="00D53AC3" w:rsidP="00242FB8">
      <w:pPr>
        <w:pStyle w:val="Nadpis2"/>
        <w:rPr>
          <w:rFonts w:eastAsia="Times New Roman"/>
          <w:lang w:eastAsia="cs-CZ"/>
        </w:rPr>
      </w:pPr>
      <w:r w:rsidRPr="00D53AC3">
        <w:rPr>
          <w:rFonts w:eastAsia="Times New Roman"/>
          <w:lang w:eastAsia="cs-CZ"/>
        </w:rPr>
        <w:t>Postup první volby</w:t>
      </w:r>
      <w:r w:rsidRPr="00CC3CDC">
        <w:rPr>
          <w:rFonts w:eastAsia="Times New Roman"/>
          <w:b/>
          <w:bCs/>
          <w:lang w:eastAsia="cs-CZ"/>
        </w:rPr>
        <w:t>: Cefazolin</w:t>
      </w:r>
    </w:p>
    <w:p w:rsidR="00D53AC3" w:rsidRDefault="00D53AC3" w:rsidP="00D53AC3">
      <w:p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color w:val="000000"/>
          <w:lang w:eastAsia="cs-CZ"/>
        </w:rPr>
        <w:t>Pro antibiotickou profylaxi u pacientů před implantací totální endoprotézy je vhodná první generace cefalosporinů (cefazolin).</w:t>
      </w:r>
    </w:p>
    <w:p w:rsidR="002C0D66" w:rsidRPr="00D53AC3" w:rsidRDefault="002C0D66" w:rsidP="00D53AC3">
      <w:p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>
        <w:rPr>
          <w:rFonts w:eastAsia="Times New Roman" w:cstheme="minorHAnsi"/>
          <w:color w:val="000000"/>
          <w:lang w:eastAsia="cs-CZ"/>
        </w:rPr>
        <w:t>Z hlediska úspěšnosti single shot dávky je zásadní správná dávka a načasování jejího podání</w:t>
      </w:r>
    </w:p>
    <w:p w:rsidR="00D53AC3" w:rsidRPr="00D53AC3" w:rsidRDefault="00D53AC3" w:rsidP="00D53AC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Načasování:</w:t>
      </w:r>
      <w:r w:rsidRPr="00D53AC3">
        <w:rPr>
          <w:rFonts w:eastAsia="Times New Roman" w:cstheme="minorHAnsi"/>
          <w:color w:val="000000"/>
          <w:lang w:eastAsia="cs-CZ"/>
        </w:rPr>
        <w:t> 20 – 30 min před incizí (max. 1 h).</w:t>
      </w:r>
    </w:p>
    <w:p w:rsidR="00242FB8" w:rsidRPr="00B2261F" w:rsidRDefault="00D53AC3" w:rsidP="00B2261F">
      <w:pPr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Opakování dávky během operace:</w:t>
      </w:r>
      <w:r w:rsidRPr="00D53AC3">
        <w:rPr>
          <w:rFonts w:eastAsia="Times New Roman" w:cstheme="minorHAnsi"/>
          <w:color w:val="000000"/>
          <w:lang w:eastAsia="cs-CZ"/>
        </w:rPr>
        <w:t xml:space="preserve"> V případě velké krevní ztráty (více </w:t>
      </w:r>
      <w:r w:rsidRPr="00854379">
        <w:rPr>
          <w:rFonts w:eastAsia="Times New Roman" w:cstheme="minorHAnsi"/>
          <w:b/>
          <w:color w:val="000000"/>
          <w:lang w:eastAsia="cs-CZ"/>
        </w:rPr>
        <w:t>než 1 l krv</w:t>
      </w:r>
      <w:r w:rsidR="00242FB8" w:rsidRPr="00854379">
        <w:rPr>
          <w:rFonts w:eastAsia="Times New Roman" w:cstheme="minorHAnsi"/>
          <w:b/>
          <w:color w:val="000000"/>
          <w:lang w:eastAsia="cs-CZ"/>
        </w:rPr>
        <w:t>e</w:t>
      </w:r>
      <w:r w:rsidRPr="00D53AC3">
        <w:rPr>
          <w:rFonts w:eastAsia="Times New Roman" w:cstheme="minorHAnsi"/>
          <w:color w:val="000000"/>
          <w:lang w:eastAsia="cs-CZ"/>
        </w:rPr>
        <w:t>) nebo v p</w:t>
      </w:r>
      <w:r w:rsidR="00854379">
        <w:rPr>
          <w:rFonts w:eastAsia="Times New Roman" w:cstheme="minorHAnsi"/>
          <w:color w:val="000000"/>
          <w:lang w:eastAsia="cs-CZ"/>
        </w:rPr>
        <w:t>řípadě dlouhého operačního času (</w:t>
      </w:r>
      <w:r w:rsidR="00854379" w:rsidRPr="00854379">
        <w:rPr>
          <w:rFonts w:eastAsia="Times New Roman" w:cstheme="minorHAnsi"/>
          <w:b/>
          <w:color w:val="000000"/>
          <w:lang w:eastAsia="cs-CZ"/>
        </w:rPr>
        <w:t>nad 120 min)</w:t>
      </w:r>
    </w:p>
    <w:p w:rsidR="002E2E8C" w:rsidRDefault="002E2E8C" w:rsidP="002C0D66">
      <w:pPr>
        <w:jc w:val="center"/>
        <w:rPr>
          <w:rFonts w:eastAsia="Times New Roman" w:cstheme="minorHAnsi"/>
          <w:lang w:eastAsia="cs-CZ"/>
        </w:rPr>
      </w:pPr>
    </w:p>
    <w:p w:rsidR="002E2E8C" w:rsidRDefault="002E2E8C" w:rsidP="002C0D66">
      <w:pPr>
        <w:jc w:val="center"/>
        <w:rPr>
          <w:rFonts w:eastAsia="Times New Roman" w:cstheme="minorHAnsi"/>
          <w:lang w:eastAsia="cs-CZ"/>
        </w:rPr>
      </w:pPr>
    </w:p>
    <w:tbl>
      <w:tblPr>
        <w:tblStyle w:val="GridTable1LightAccent1"/>
        <w:tblW w:w="0" w:type="auto"/>
        <w:tblLook w:val="0600"/>
      </w:tblPr>
      <w:tblGrid>
        <w:gridCol w:w="2405"/>
        <w:gridCol w:w="2552"/>
        <w:gridCol w:w="4099"/>
      </w:tblGrid>
      <w:tr w:rsidR="002E2E8C" w:rsidTr="002840B9">
        <w:trPr>
          <w:trHeight w:val="1212"/>
        </w:trPr>
        <w:tc>
          <w:tcPr>
            <w:tcW w:w="2405" w:type="dxa"/>
            <w:shd w:val="clear" w:color="auto" w:fill="2F5496" w:themeFill="accent1" w:themeFillShade="BF"/>
            <w:vAlign w:val="center"/>
          </w:tcPr>
          <w:p w:rsidR="002E2E8C" w:rsidRPr="002E2E8C" w:rsidRDefault="002E2E8C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 w:rsidRPr="002E2E8C">
              <w:rPr>
                <w:color w:val="FFFFFF" w:themeColor="background1"/>
                <w:sz w:val="24"/>
                <w:szCs w:val="24"/>
              </w:rPr>
              <w:t>Hmotnost pacienta</w:t>
            </w:r>
          </w:p>
        </w:tc>
        <w:tc>
          <w:tcPr>
            <w:tcW w:w="2552" w:type="dxa"/>
            <w:shd w:val="clear" w:color="auto" w:fill="2F5496" w:themeFill="accent1" w:themeFillShade="BF"/>
            <w:vAlign w:val="center"/>
          </w:tcPr>
          <w:p w:rsidR="002E2E8C" w:rsidRPr="002E2E8C" w:rsidRDefault="003E19E8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  <w:t>Dávkování single shot</w:t>
            </w:r>
          </w:p>
        </w:tc>
        <w:tc>
          <w:tcPr>
            <w:tcW w:w="4099" w:type="dxa"/>
            <w:shd w:val="clear" w:color="auto" w:fill="2F5496" w:themeFill="accent1" w:themeFillShade="BF"/>
            <w:vAlign w:val="center"/>
          </w:tcPr>
          <w:p w:rsidR="002E2E8C" w:rsidRPr="002E2E8C" w:rsidRDefault="002E2E8C" w:rsidP="002840B9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</w:pPr>
            <w:r w:rsidRPr="002E2E8C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Prodloužený režim</w:t>
            </w:r>
          </w:p>
          <w:p w:rsidR="002E2E8C" w:rsidRDefault="002E2E8C" w:rsidP="002840B9">
            <w:pPr>
              <w:jc w:val="center"/>
              <w:rPr>
                <w:rFonts w:eastAsia="Times New Roman" w:cstheme="minorHAnsi"/>
                <w:lang w:eastAsia="cs-CZ"/>
              </w:rPr>
            </w:pPr>
            <w:r w:rsidRPr="002E2E8C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(24 hod – rizikoví pacienti)</w:t>
            </w:r>
          </w:p>
        </w:tc>
      </w:tr>
      <w:tr w:rsidR="003E19E8" w:rsidRPr="003E19E8" w:rsidTr="002840B9">
        <w:tc>
          <w:tcPr>
            <w:tcW w:w="2405" w:type="dxa"/>
            <w:shd w:val="clear" w:color="auto" w:fill="D9E2F3" w:themeFill="accent1" w:themeFillTint="33"/>
            <w:vAlign w:val="center"/>
          </w:tcPr>
          <w:p w:rsidR="003E19E8" w:rsidRPr="00B2261F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>do 60 kg</w:t>
            </w: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1 g i.v.</w:t>
            </w:r>
          </w:p>
        </w:tc>
        <w:tc>
          <w:tcPr>
            <w:tcW w:w="4099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1 g i.v. → celkem 4 dávky / 24 h (á 6 h)</w:t>
            </w:r>
          </w:p>
        </w:tc>
      </w:tr>
      <w:tr w:rsidR="003E19E8" w:rsidRPr="003E19E8" w:rsidTr="002840B9">
        <w:tc>
          <w:tcPr>
            <w:tcW w:w="2405" w:type="dxa"/>
            <w:shd w:val="clear" w:color="auto" w:fill="D9E2F3" w:themeFill="accent1" w:themeFillTint="33"/>
            <w:vAlign w:val="center"/>
          </w:tcPr>
          <w:p w:rsidR="003E19E8" w:rsidRPr="00B2261F" w:rsidRDefault="003E19E8" w:rsidP="002840B9">
            <w:pPr>
              <w:spacing w:line="276" w:lineRule="auto"/>
              <w:jc w:val="center"/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>60 – 90 kg</w:t>
            </w: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2 g i.v.</w:t>
            </w:r>
          </w:p>
        </w:tc>
        <w:tc>
          <w:tcPr>
            <w:tcW w:w="4099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2 g i.v. → celkem 4 dávky / 24 h (á 6 h)</w:t>
            </w:r>
          </w:p>
        </w:tc>
      </w:tr>
      <w:tr w:rsidR="003E19E8" w:rsidRPr="003E19E8" w:rsidTr="002840B9">
        <w:tc>
          <w:tcPr>
            <w:tcW w:w="2405" w:type="dxa"/>
            <w:shd w:val="clear" w:color="auto" w:fill="D9E2F3" w:themeFill="accent1" w:themeFillTint="33"/>
            <w:vAlign w:val="center"/>
          </w:tcPr>
          <w:p w:rsidR="003E19E8" w:rsidRPr="00B2261F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>nad 90 kg</w:t>
            </w: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3 g i.v.</w:t>
            </w:r>
          </w:p>
        </w:tc>
        <w:tc>
          <w:tcPr>
            <w:tcW w:w="4099" w:type="dxa"/>
            <w:shd w:val="clear" w:color="auto" w:fill="D9E2F3" w:themeFill="accent1" w:themeFillTint="33"/>
            <w:vAlign w:val="center"/>
          </w:tcPr>
          <w:p w:rsidR="003E19E8" w:rsidRPr="003E19E8" w:rsidRDefault="003E19E8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3 g i.v. → celkem 4 dávky / 24 h (á 6 h)</w:t>
            </w:r>
          </w:p>
        </w:tc>
      </w:tr>
    </w:tbl>
    <w:p w:rsidR="00242FB8" w:rsidRPr="003E19E8" w:rsidRDefault="00242FB8" w:rsidP="00D53AC3">
      <w:pPr>
        <w:jc w:val="both"/>
        <w:rPr>
          <w:rFonts w:eastAsia="Times New Roman" w:cstheme="minorHAnsi"/>
          <w:color w:val="2F5496" w:themeColor="accent1" w:themeShade="BF"/>
          <w:lang w:eastAsia="cs-CZ"/>
        </w:rPr>
      </w:pPr>
    </w:p>
    <w:p w:rsidR="00242FB8" w:rsidRDefault="00242FB8" w:rsidP="00D53AC3">
      <w:pPr>
        <w:jc w:val="both"/>
        <w:rPr>
          <w:rFonts w:eastAsia="Times New Roman" w:cstheme="minorHAnsi"/>
          <w:lang w:eastAsia="cs-CZ"/>
        </w:rPr>
      </w:pPr>
    </w:p>
    <w:p w:rsidR="00D53AC3" w:rsidRPr="00D53AC3" w:rsidRDefault="00A1414C" w:rsidP="00D53AC3">
      <w:pPr>
        <w:jc w:val="both"/>
        <w:rPr>
          <w:rFonts w:eastAsia="Times New Roman" w:cstheme="minorHAnsi"/>
          <w:lang w:eastAsia="cs-CZ"/>
        </w:rPr>
      </w:pPr>
      <w:r w:rsidRPr="00A1414C">
        <w:rPr>
          <w:rFonts w:eastAsia="Times New Roman" w:cstheme="minorHAnsi"/>
          <w:noProof/>
          <w:lang w:eastAsia="cs-CZ"/>
        </w:rPr>
        <w:pict>
          <v:rect id="_x0000_i1026" alt="" style="width:453.3pt;height:.05pt;mso-width-percent:0;mso-height-percent:0;mso-width-percent:0;mso-height-percent:0" o:hralign="center" o:hrstd="t" o:hr="t" fillcolor="#a0a0a0" stroked="f"/>
        </w:pict>
      </w:r>
    </w:p>
    <w:p w:rsidR="00D53AC3" w:rsidRPr="00D53AC3" w:rsidRDefault="00D53AC3" w:rsidP="00242FB8">
      <w:pPr>
        <w:pStyle w:val="Nadpis2"/>
        <w:rPr>
          <w:rFonts w:eastAsia="Times New Roman"/>
          <w:lang w:eastAsia="cs-CZ"/>
        </w:rPr>
      </w:pPr>
      <w:r w:rsidRPr="00D53AC3">
        <w:rPr>
          <w:rFonts w:eastAsia="Times New Roman"/>
          <w:lang w:eastAsia="cs-CZ"/>
        </w:rPr>
        <w:t xml:space="preserve">Alternativa 1: Postup u pacientů s alergií na cefalosporiny </w:t>
      </w:r>
      <w:r w:rsidR="00CC3CDC">
        <w:rPr>
          <w:rFonts w:eastAsia="Times New Roman"/>
          <w:lang w:eastAsia="cs-CZ"/>
        </w:rPr>
        <w:t xml:space="preserve">- </w:t>
      </w:r>
      <w:r w:rsidRPr="00CC3CDC">
        <w:rPr>
          <w:rFonts w:eastAsia="Times New Roman"/>
          <w:b/>
          <w:bCs/>
          <w:lang w:eastAsia="cs-CZ"/>
        </w:rPr>
        <w:t>Klindamycin</w:t>
      </w:r>
    </w:p>
    <w:p w:rsidR="00D53AC3" w:rsidRDefault="00D53AC3" w:rsidP="00D53AC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Načasování a intraoperační opakování dávky:</w:t>
      </w:r>
      <w:r w:rsidRPr="00D53AC3">
        <w:rPr>
          <w:rFonts w:eastAsia="Times New Roman" w:cstheme="minorHAnsi"/>
          <w:color w:val="000000"/>
          <w:lang w:eastAsia="cs-CZ"/>
        </w:rPr>
        <w:t> Platí stejná pravidla jako v případě cefazolinu.</w:t>
      </w:r>
    </w:p>
    <w:tbl>
      <w:tblPr>
        <w:tblStyle w:val="GridTable1LightAccent1"/>
        <w:tblW w:w="0" w:type="auto"/>
        <w:tblLook w:val="0600"/>
      </w:tblPr>
      <w:tblGrid>
        <w:gridCol w:w="1555"/>
        <w:gridCol w:w="3118"/>
        <w:gridCol w:w="4383"/>
      </w:tblGrid>
      <w:tr w:rsidR="00B85A09" w:rsidTr="002840B9">
        <w:trPr>
          <w:trHeight w:val="1212"/>
        </w:trPr>
        <w:tc>
          <w:tcPr>
            <w:tcW w:w="1555" w:type="dxa"/>
            <w:shd w:val="clear" w:color="auto" w:fill="2F5496" w:themeFill="accent1" w:themeFillShade="BF"/>
            <w:vAlign w:val="center"/>
          </w:tcPr>
          <w:p w:rsidR="00B85A09" w:rsidRPr="002E2E8C" w:rsidRDefault="00B85A09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 w:rsidRPr="002E2E8C">
              <w:rPr>
                <w:color w:val="FFFFFF" w:themeColor="background1"/>
                <w:sz w:val="24"/>
                <w:szCs w:val="24"/>
              </w:rPr>
              <w:t>Hmotnost pacienta</w:t>
            </w:r>
          </w:p>
        </w:tc>
        <w:tc>
          <w:tcPr>
            <w:tcW w:w="3118" w:type="dxa"/>
            <w:shd w:val="clear" w:color="auto" w:fill="2F5496" w:themeFill="accent1" w:themeFillShade="BF"/>
            <w:vAlign w:val="center"/>
          </w:tcPr>
          <w:p w:rsidR="00B85A09" w:rsidRPr="002E2E8C" w:rsidRDefault="00B85A09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  <w:t>Dávkování single shot</w:t>
            </w:r>
          </w:p>
        </w:tc>
        <w:tc>
          <w:tcPr>
            <w:tcW w:w="4383" w:type="dxa"/>
            <w:shd w:val="clear" w:color="auto" w:fill="2F5496" w:themeFill="accent1" w:themeFillShade="BF"/>
            <w:vAlign w:val="center"/>
          </w:tcPr>
          <w:p w:rsidR="00B85A09" w:rsidRPr="002E2E8C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</w:pPr>
            <w:r w:rsidRPr="002E2E8C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Prodloužený režim</w:t>
            </w:r>
          </w:p>
          <w:p w:rsidR="00B85A09" w:rsidRDefault="00B85A09" w:rsidP="002840B9">
            <w:pPr>
              <w:jc w:val="center"/>
              <w:rPr>
                <w:rFonts w:eastAsia="Times New Roman" w:cstheme="minorHAnsi"/>
                <w:lang w:eastAsia="cs-CZ"/>
              </w:rPr>
            </w:pPr>
            <w:r w:rsidRPr="002E2E8C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(24 hod – rizikoví pacienti)</w:t>
            </w:r>
          </w:p>
        </w:tc>
      </w:tr>
      <w:tr w:rsidR="00B85A09" w:rsidRPr="003E19E8" w:rsidTr="002840B9">
        <w:tc>
          <w:tcPr>
            <w:tcW w:w="1555" w:type="dxa"/>
            <w:shd w:val="clear" w:color="auto" w:fill="D9E2F3" w:themeFill="accent1" w:themeFillTint="33"/>
            <w:vAlign w:val="center"/>
          </w:tcPr>
          <w:p w:rsidR="00B85A09" w:rsidRPr="00B2261F" w:rsidRDefault="00B85A09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do </w:t>
            </w:r>
            <w:r>
              <w:rPr>
                <w:b/>
                <w:bCs/>
                <w:color w:val="2F5496" w:themeColor="accent1" w:themeShade="BF"/>
                <w:sz w:val="24"/>
                <w:szCs w:val="24"/>
              </w:rPr>
              <w:t>80</w:t>
            </w: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>kg</w:t>
            </w:r>
          </w:p>
        </w:tc>
        <w:tc>
          <w:tcPr>
            <w:tcW w:w="3118" w:type="dxa"/>
            <w:shd w:val="clear" w:color="auto" w:fill="D9E2F3" w:themeFill="accent1" w:themeFillTint="33"/>
            <w:vAlign w:val="center"/>
          </w:tcPr>
          <w:p w:rsidR="00B85A09" w:rsidRPr="003E19E8" w:rsidRDefault="00B85A09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600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m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g i.v.</w:t>
            </w:r>
          </w:p>
        </w:tc>
        <w:tc>
          <w:tcPr>
            <w:tcW w:w="4383" w:type="dxa"/>
            <w:shd w:val="clear" w:color="auto" w:fill="D9E2F3" w:themeFill="accent1" w:themeFillTint="33"/>
            <w:vAlign w:val="center"/>
          </w:tcPr>
          <w:p w:rsidR="00B85A09" w:rsidRPr="003E19E8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600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m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g i.v. → celkem 4 dávky/24 h (á 6 h)</w:t>
            </w:r>
          </w:p>
        </w:tc>
      </w:tr>
      <w:tr w:rsidR="00B85A09" w:rsidRPr="003E19E8" w:rsidTr="002840B9">
        <w:tc>
          <w:tcPr>
            <w:tcW w:w="1555" w:type="dxa"/>
            <w:shd w:val="clear" w:color="auto" w:fill="D9E2F3" w:themeFill="accent1" w:themeFillTint="33"/>
            <w:vAlign w:val="center"/>
          </w:tcPr>
          <w:p w:rsidR="00B85A09" w:rsidRPr="00B2261F" w:rsidRDefault="00B85A09" w:rsidP="002840B9">
            <w:pPr>
              <w:spacing w:line="276" w:lineRule="auto"/>
              <w:jc w:val="center"/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b/>
                <w:bCs/>
                <w:color w:val="2F5496" w:themeColor="accent1" w:themeShade="BF"/>
                <w:sz w:val="24"/>
                <w:szCs w:val="24"/>
              </w:rPr>
              <w:t>nad 8</w:t>
            </w:r>
            <w:r w:rsidRPr="00B2261F">
              <w:rPr>
                <w:b/>
                <w:bCs/>
                <w:color w:val="2F5496" w:themeColor="accent1" w:themeShade="BF"/>
                <w:sz w:val="24"/>
                <w:szCs w:val="24"/>
              </w:rPr>
              <w:t>0 kg</w:t>
            </w:r>
          </w:p>
        </w:tc>
        <w:tc>
          <w:tcPr>
            <w:tcW w:w="3118" w:type="dxa"/>
            <w:shd w:val="clear" w:color="auto" w:fill="D9E2F3" w:themeFill="accent1" w:themeFillTint="33"/>
            <w:vAlign w:val="center"/>
          </w:tcPr>
          <w:p w:rsidR="00B85A09" w:rsidRPr="003E19E8" w:rsidRDefault="00B85A09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900 m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g i.v.</w:t>
            </w:r>
          </w:p>
        </w:tc>
        <w:tc>
          <w:tcPr>
            <w:tcW w:w="4383" w:type="dxa"/>
            <w:shd w:val="clear" w:color="auto" w:fill="D9E2F3" w:themeFill="accent1" w:themeFillTint="33"/>
            <w:vAlign w:val="center"/>
          </w:tcPr>
          <w:p w:rsidR="00B85A09" w:rsidRPr="003E19E8" w:rsidRDefault="00B85A09" w:rsidP="002840B9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900 m</w:t>
            </w:r>
            <w:r w:rsidRPr="003E19E8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g i.v. → celkem 4 dávky/24 h (á 6 h)</w:t>
            </w:r>
          </w:p>
        </w:tc>
      </w:tr>
    </w:tbl>
    <w:p w:rsidR="00B85A09" w:rsidRDefault="00B85A09" w:rsidP="00D53AC3">
      <w:pPr>
        <w:jc w:val="both"/>
        <w:rPr>
          <w:rFonts w:eastAsia="Times New Roman" w:cstheme="minorHAnsi"/>
          <w:lang w:eastAsia="cs-CZ"/>
        </w:rPr>
      </w:pPr>
    </w:p>
    <w:p w:rsidR="00D53AC3" w:rsidRPr="00D53AC3" w:rsidRDefault="00A1414C" w:rsidP="00D53AC3">
      <w:pPr>
        <w:jc w:val="both"/>
        <w:rPr>
          <w:rFonts w:eastAsia="Times New Roman" w:cstheme="minorHAnsi"/>
          <w:lang w:eastAsia="cs-CZ"/>
        </w:rPr>
      </w:pPr>
      <w:r w:rsidRPr="00A1414C">
        <w:rPr>
          <w:rFonts w:eastAsia="Times New Roman" w:cstheme="minorHAnsi"/>
          <w:noProof/>
          <w:lang w:eastAsia="cs-CZ"/>
        </w:rPr>
        <w:pict>
          <v:rect id="_x0000_i1027" alt="" style="width:453.3pt;height:.05pt;mso-width-percent:0;mso-height-percent:0;mso-width-percent:0;mso-height-percent:0" o:hralign="center" o:hrstd="t" o:hr="t" fillcolor="#a0a0a0" stroked="f"/>
        </w:pict>
      </w:r>
    </w:p>
    <w:p w:rsidR="00D53AC3" w:rsidRPr="00CC3CDC" w:rsidRDefault="00D53AC3" w:rsidP="00921B51">
      <w:pPr>
        <w:pStyle w:val="Nadpis2"/>
        <w:rPr>
          <w:b/>
          <w:bCs/>
        </w:rPr>
      </w:pPr>
      <w:r w:rsidRPr="00921B51">
        <w:t xml:space="preserve">Alternativa 2: Postup u pacientů s prokázaným výskytem MRSA </w:t>
      </w:r>
      <w:r w:rsidR="00CC3CDC">
        <w:t>-</w:t>
      </w:r>
      <w:r w:rsidRPr="00CC3CDC">
        <w:rPr>
          <w:b/>
          <w:bCs/>
        </w:rPr>
        <w:t>Vankomycin</w:t>
      </w:r>
    </w:p>
    <w:p w:rsidR="00D53AC3" w:rsidRPr="00D53AC3" w:rsidRDefault="00D53AC3" w:rsidP="00D53AC3">
      <w:p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color w:val="000000"/>
          <w:lang w:eastAsia="cs-CZ"/>
        </w:rPr>
        <w:t>Výjimečně zvažujeme u pacientů dlouhodobě hospitalizovaných na ONP, ARO, JIP, případně u zaměstnanců nemocnic z provozů se zvýšeným rizikem MRSA.</w:t>
      </w:r>
    </w:p>
    <w:p w:rsidR="00D53AC3" w:rsidRPr="00D53AC3" w:rsidRDefault="00D53AC3" w:rsidP="00D53AC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Načasování:</w:t>
      </w:r>
      <w:r w:rsidRPr="00D53AC3">
        <w:rPr>
          <w:rFonts w:eastAsia="Times New Roman" w:cstheme="minorHAnsi"/>
          <w:color w:val="000000"/>
          <w:lang w:eastAsia="cs-CZ"/>
        </w:rPr>
        <w:t> 2 h před incizí!</w:t>
      </w:r>
    </w:p>
    <w:tbl>
      <w:tblPr>
        <w:tblW w:w="90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8"/>
        <w:gridCol w:w="3402"/>
        <w:gridCol w:w="4252"/>
      </w:tblGrid>
      <w:tr w:rsidR="00B85A09" w:rsidRPr="00B85A09" w:rsidTr="002840B9">
        <w:trPr>
          <w:tblHeader/>
          <w:tblCellSpacing w:w="15" w:type="dxa"/>
        </w:trPr>
        <w:tc>
          <w:tcPr>
            <w:tcW w:w="1373" w:type="dxa"/>
            <w:tcBorders>
              <w:top w:val="single" w:sz="4" w:space="0" w:color="2F5496"/>
              <w:bottom w:val="single" w:sz="4" w:space="0" w:color="2F5496" w:themeColor="accent1" w:themeShade="BF"/>
              <w:right w:val="single" w:sz="4" w:space="0" w:color="2F5496"/>
            </w:tcBorders>
            <w:shd w:val="clear" w:color="auto" w:fill="2F5496" w:themeFill="accent1" w:themeFillShade="BF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 w:rsidRPr="00B85A09">
              <w:rPr>
                <w:color w:val="FFFFFF" w:themeColor="background1"/>
                <w:sz w:val="24"/>
                <w:szCs w:val="24"/>
              </w:rPr>
              <w:t>Hmotnost pacienta</w:t>
            </w:r>
          </w:p>
        </w:tc>
        <w:tc>
          <w:tcPr>
            <w:tcW w:w="3372" w:type="dxa"/>
            <w:tcBorders>
              <w:top w:val="single" w:sz="4" w:space="0" w:color="2F5496"/>
              <w:left w:val="single" w:sz="4" w:space="0" w:color="2F5496"/>
              <w:bottom w:val="single" w:sz="4" w:space="0" w:color="2F5496" w:themeColor="accent1" w:themeShade="BF"/>
              <w:right w:val="single" w:sz="4" w:space="0" w:color="2F5496"/>
            </w:tcBorders>
            <w:shd w:val="clear" w:color="auto" w:fill="2F5496" w:themeFill="accent1" w:themeFillShade="BF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color w:val="FFFFFF" w:themeColor="background1"/>
                <w:sz w:val="24"/>
                <w:szCs w:val="24"/>
                <w:lang w:eastAsia="cs-CZ"/>
              </w:rPr>
              <w:t>Dávkování single shot</w:t>
            </w:r>
          </w:p>
        </w:tc>
        <w:tc>
          <w:tcPr>
            <w:tcW w:w="4207" w:type="dxa"/>
            <w:tcBorders>
              <w:top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/>
            </w:tcBorders>
            <w:shd w:val="clear" w:color="auto" w:fill="2F5496" w:themeFill="accent1" w:themeFillShade="BF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Prodloužený režim</w:t>
            </w:r>
          </w:p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FFFFFF" w:themeColor="background1"/>
                <w:sz w:val="24"/>
                <w:szCs w:val="24"/>
                <w:lang w:eastAsia="cs-CZ"/>
              </w:rPr>
              <w:t>(24 hod – rizikoví pacienti)</w:t>
            </w:r>
          </w:p>
        </w:tc>
      </w:tr>
      <w:tr w:rsidR="00B85A09" w:rsidRPr="00B85A09" w:rsidTr="002840B9">
        <w:trPr>
          <w:tblCellSpacing w:w="15" w:type="dxa"/>
        </w:trPr>
        <w:tc>
          <w:tcPr>
            <w:tcW w:w="1373" w:type="dxa"/>
            <w:tcBorders>
              <w:top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do 40 kg</w:t>
            </w:r>
          </w:p>
        </w:tc>
        <w:tc>
          <w:tcPr>
            <w:tcW w:w="3372" w:type="dxa"/>
            <w:tcBorders>
              <w:left w:val="single" w:sz="4" w:space="0" w:color="2F5496"/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750 mg v 250 ml FR (kapat 1 h)</w:t>
            </w:r>
          </w:p>
        </w:tc>
        <w:tc>
          <w:tcPr>
            <w:tcW w:w="4207" w:type="dxa"/>
            <w:tcBorders>
              <w:top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Podat 2 dávky á 12 h</w:t>
            </w:r>
          </w:p>
        </w:tc>
      </w:tr>
      <w:tr w:rsidR="00B85A09" w:rsidRPr="00B85A09" w:rsidTr="002840B9">
        <w:trPr>
          <w:tblCellSpacing w:w="15" w:type="dxa"/>
        </w:trPr>
        <w:tc>
          <w:tcPr>
            <w:tcW w:w="1373" w:type="dxa"/>
            <w:tcBorders>
              <w:top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40 – 60 kg</w:t>
            </w:r>
          </w:p>
        </w:tc>
        <w:tc>
          <w:tcPr>
            <w:tcW w:w="3372" w:type="dxa"/>
            <w:tcBorders>
              <w:top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1 000 mg v 250 ml FR (kapat 2 h)</w:t>
            </w:r>
          </w:p>
        </w:tc>
        <w:tc>
          <w:tcPr>
            <w:tcW w:w="4207" w:type="dxa"/>
            <w:tcBorders>
              <w:top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Podat 2 dávky á 12 h</w:t>
            </w:r>
          </w:p>
        </w:tc>
      </w:tr>
      <w:tr w:rsidR="00B85A09" w:rsidRPr="00B85A09" w:rsidTr="002840B9">
        <w:trPr>
          <w:tblCellSpacing w:w="15" w:type="dxa"/>
        </w:trPr>
        <w:tc>
          <w:tcPr>
            <w:tcW w:w="1373" w:type="dxa"/>
            <w:tcBorders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61 – 90 kg</w:t>
            </w:r>
          </w:p>
        </w:tc>
        <w:tc>
          <w:tcPr>
            <w:tcW w:w="3372" w:type="dxa"/>
            <w:tcBorders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1 500 mg v 500 ml FR (kapat 2 h)</w:t>
            </w:r>
          </w:p>
        </w:tc>
        <w:tc>
          <w:tcPr>
            <w:tcW w:w="4207" w:type="dxa"/>
            <w:tcBorders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Druhá dávka po 12 h: 1000–1500 mg v 500 ml FR</w:t>
            </w:r>
          </w:p>
        </w:tc>
      </w:tr>
      <w:tr w:rsidR="00B85A09" w:rsidRPr="00B85A09" w:rsidTr="002840B9">
        <w:trPr>
          <w:tblCellSpacing w:w="15" w:type="dxa"/>
        </w:trPr>
        <w:tc>
          <w:tcPr>
            <w:tcW w:w="1373" w:type="dxa"/>
            <w:tcBorders>
              <w:top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nad 90 kg</w:t>
            </w:r>
          </w:p>
        </w:tc>
        <w:tc>
          <w:tcPr>
            <w:tcW w:w="3372" w:type="dxa"/>
            <w:tcBorders>
              <w:top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2 000 mg v 500 ml FR (kapat 3 h)</w:t>
            </w:r>
          </w:p>
        </w:tc>
        <w:tc>
          <w:tcPr>
            <w:tcW w:w="4207" w:type="dxa"/>
            <w:tcBorders>
              <w:top w:val="single" w:sz="4" w:space="0" w:color="2F5496" w:themeColor="accent1" w:themeShade="BF"/>
              <w:right w:val="single" w:sz="4" w:space="0" w:color="2F5496"/>
            </w:tcBorders>
            <w:shd w:val="clear" w:color="auto" w:fill="D9E2F3" w:themeFill="accent1" w:themeFillTint="33"/>
            <w:vAlign w:val="center"/>
            <w:hideMark/>
          </w:tcPr>
          <w:p w:rsidR="00B85A09" w:rsidRPr="00B85A09" w:rsidRDefault="00B85A09" w:rsidP="002840B9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</w:pPr>
            <w:r w:rsidRPr="00B85A09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cs-CZ"/>
              </w:rPr>
              <w:t>Druhá dávka po 12 h: 1500–2000 mg v 500 ml FR</w:t>
            </w:r>
          </w:p>
        </w:tc>
      </w:tr>
    </w:tbl>
    <w:p w:rsidR="00D53AC3" w:rsidRPr="00D53AC3" w:rsidRDefault="00D53AC3" w:rsidP="00D53AC3">
      <w:p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color w:val="000000"/>
          <w:lang w:eastAsia="cs-CZ"/>
        </w:rPr>
        <w:t>Poznámka k prodlouženému režimu: 2. dávku eventuálně redukovat dle clearance kreatininu.</w:t>
      </w:r>
    </w:p>
    <w:p w:rsidR="005E715C" w:rsidRPr="00D53AC3" w:rsidRDefault="00A1414C" w:rsidP="005E715C">
      <w:pPr>
        <w:jc w:val="both"/>
        <w:rPr>
          <w:rFonts w:eastAsia="Times New Roman" w:cstheme="minorHAnsi"/>
          <w:lang w:eastAsia="cs-CZ"/>
        </w:rPr>
      </w:pPr>
      <w:r w:rsidRPr="00A1414C">
        <w:rPr>
          <w:rFonts w:eastAsia="Times New Roman" w:cstheme="minorHAnsi"/>
          <w:noProof/>
          <w:lang w:eastAsia="cs-CZ"/>
        </w:rPr>
        <w:lastRenderedPageBreak/>
        <w:pict>
          <v:rect id="_x0000_i1028" alt="" style="width:453.3pt;height:.05pt;mso-width-percent:0;mso-height-percent:0;mso-width-percent:0;mso-height-percent:0" o:hralign="center" o:hrstd="t" o:hr="t" fillcolor="#a0a0a0" stroked="f"/>
        </w:pict>
      </w:r>
    </w:p>
    <w:p w:rsidR="005E715C" w:rsidRPr="00D53AC3" w:rsidRDefault="005E715C" w:rsidP="005E715C">
      <w:pPr>
        <w:pStyle w:val="Nadpis1"/>
        <w:rPr>
          <w:rFonts w:eastAsia="Times New Roman"/>
          <w:lang w:eastAsia="cs-CZ"/>
        </w:rPr>
      </w:pPr>
      <w:r>
        <w:rPr>
          <w:rFonts w:eastAsia="Times New Roman"/>
          <w:lang w:eastAsia="cs-CZ"/>
        </w:rPr>
        <w:t xml:space="preserve">ATB profylaxe u revizních výkonů </w:t>
      </w:r>
    </w:p>
    <w:p w:rsidR="005E715C" w:rsidRDefault="005E715C" w:rsidP="005E715C">
      <w:pPr>
        <w:spacing w:before="100" w:beforeAutospacing="1" w:after="100" w:afterAutospacing="1"/>
        <w:jc w:val="both"/>
        <w:rPr>
          <w:rFonts w:eastAsia="Times New Roman" w:cstheme="minorHAnsi"/>
          <w:color w:val="000000"/>
          <w:lang w:eastAsia="cs-CZ"/>
        </w:rPr>
      </w:pPr>
      <w:r>
        <w:rPr>
          <w:rFonts w:eastAsia="Times New Roman" w:cstheme="minorHAnsi"/>
          <w:color w:val="000000"/>
          <w:lang w:eastAsia="cs-CZ"/>
        </w:rPr>
        <w:t xml:space="preserve">Každému reviznímu výkonu by měla předcházet diagnostická punkce. Při negativitě punkce volba antibiotika  podléhá stejným pravidlům jako u primární TEP.  Doba podávání by neměla přesáhnout 24 hodin, neboť Ceafalosporiny I generace dosahují kurability pouze 40-45% při neznámém agens. Zavedení cílené ATB terapie by mělo být provedeno až dle výsledků pooperačních kultivací. Během revizního výkonu by měl být proveden odbět min. 4 tkáňových vzorků podstoupených prodloužené kultivaci. </w:t>
      </w:r>
    </w:p>
    <w:p w:rsidR="00D53AC3" w:rsidRPr="00D53AC3" w:rsidRDefault="00A1414C" w:rsidP="00D53AC3">
      <w:pPr>
        <w:jc w:val="both"/>
        <w:rPr>
          <w:rFonts w:eastAsia="Times New Roman" w:cstheme="minorHAnsi"/>
          <w:lang w:eastAsia="cs-CZ"/>
        </w:rPr>
      </w:pPr>
      <w:r w:rsidRPr="00A1414C">
        <w:rPr>
          <w:rFonts w:eastAsia="Times New Roman" w:cstheme="minorHAnsi"/>
          <w:noProof/>
          <w:lang w:eastAsia="cs-CZ"/>
        </w:rPr>
        <w:pict>
          <v:rect id="_x0000_i1029" alt="" style="width:453.3pt;height:.05pt;mso-width-percent:0;mso-height-percent:0;mso-width-percent:0;mso-height-percent:0" o:hralign="center" o:hrstd="t" o:hr="t" fillcolor="#a0a0a0" stroked="f"/>
        </w:pict>
      </w:r>
    </w:p>
    <w:p w:rsidR="00D53AC3" w:rsidRDefault="00D53AC3" w:rsidP="00D53AC3">
      <w:pPr>
        <w:spacing w:beforeAutospacing="1" w:afterAutospacing="1"/>
        <w:jc w:val="both"/>
        <w:rPr>
          <w:rFonts w:eastAsia="Times New Roman" w:cstheme="minorHAnsi"/>
          <w:color w:val="000000"/>
          <w:lang w:eastAsia="cs-CZ"/>
        </w:rPr>
      </w:pPr>
      <w:r w:rsidRPr="00D53AC3">
        <w:rPr>
          <w:rFonts w:eastAsia="Times New Roman" w:cstheme="minorHAnsi"/>
          <w:b/>
          <w:bCs/>
          <w:color w:val="000000"/>
          <w:lang w:eastAsia="cs-CZ"/>
        </w:rPr>
        <w:t>Zdůvodnění úpravy:</w:t>
      </w:r>
      <w:r w:rsidRPr="00D53AC3">
        <w:rPr>
          <w:rFonts w:eastAsia="Times New Roman" w:cstheme="minorHAnsi"/>
          <w:color w:val="000000"/>
          <w:lang w:eastAsia="cs-CZ"/>
        </w:rPr>
        <w:t> Původní text paušálně doporučoval režim 4 dávek na 24 hodin do extrakce drénů pro všechny pacienty. Nová formulace modernizuje doporučení v souladu se světovými trendy medicíny založené na důkazech (EBM), kde </w:t>
      </w:r>
      <w:r w:rsidRPr="00D53AC3">
        <w:rPr>
          <w:rFonts w:eastAsia="Times New Roman" w:cstheme="minorHAnsi"/>
          <w:b/>
          <w:bCs/>
          <w:color w:val="000000"/>
          <w:lang w:eastAsia="cs-CZ"/>
        </w:rPr>
        <w:t>single shot</w:t>
      </w:r>
      <w:r w:rsidRPr="00D53AC3">
        <w:rPr>
          <w:rFonts w:eastAsia="Times New Roman" w:cstheme="minorHAnsi"/>
          <w:color w:val="000000"/>
          <w:lang w:eastAsia="cs-CZ"/>
        </w:rPr>
        <w:t> prokazatelně snižuje riziko vzniku rezistencí a nežádoucích účinků, přičemž si zachovává identickou účinnost v prevenci perioperačních infekcí (SSI). Prodloužený režim je nově vyhrazen striktně pro definované rizikové skupiny.</w:t>
      </w:r>
      <w:r w:rsidR="00854379">
        <w:rPr>
          <w:rFonts w:eastAsia="Times New Roman" w:cstheme="minorHAnsi"/>
          <w:color w:val="000000"/>
          <w:lang w:eastAsia="cs-CZ"/>
        </w:rPr>
        <w:t xml:space="preserve"> Používání Cefalosporinů III. generace (Cefuroxime) pro stimulaci tvorby beta-laktamáz není jako preventivní ATB doporučeno.</w:t>
      </w:r>
    </w:p>
    <w:p w:rsidR="00711CA6" w:rsidRDefault="00711CA6" w:rsidP="00D53AC3">
      <w:pPr>
        <w:spacing w:beforeAutospacing="1" w:afterAutospacing="1"/>
        <w:jc w:val="both"/>
        <w:rPr>
          <w:rFonts w:eastAsia="Times New Roman" w:cstheme="minorHAnsi"/>
          <w:color w:val="000000"/>
          <w:lang w:eastAsia="cs-CZ"/>
        </w:rPr>
      </w:pPr>
    </w:p>
    <w:p w:rsidR="00711CA6" w:rsidRPr="00171AE6" w:rsidRDefault="00711CA6" w:rsidP="00D53AC3">
      <w:pPr>
        <w:spacing w:beforeAutospacing="1" w:afterAutospacing="1"/>
        <w:jc w:val="both"/>
        <w:rPr>
          <w:rFonts w:eastAsia="Times New Roman" w:cstheme="minorHAnsi"/>
          <w:i/>
          <w:color w:val="000000"/>
          <w:sz w:val="24"/>
          <w:szCs w:val="24"/>
          <w:lang w:eastAsia="cs-CZ"/>
        </w:rPr>
      </w:pPr>
      <w:r w:rsidRPr="00171AE6">
        <w:rPr>
          <w:rFonts w:eastAsia="Times New Roman" w:cstheme="minorHAnsi"/>
          <w:i/>
          <w:color w:val="000000"/>
          <w:sz w:val="24"/>
          <w:szCs w:val="24"/>
          <w:lang w:eastAsia="cs-CZ"/>
        </w:rPr>
        <w:t>Toto doporučení je schváleno Expertní komisí pro septickou ortopedii ČSOT a SKAP ČLS JEP (Subkomise pro antibiotickou politiku České lékařské společnosti Jana Evangelisty Purkyně)</w:t>
      </w:r>
      <w:r w:rsidR="00171AE6">
        <w:rPr>
          <w:rFonts w:eastAsia="Times New Roman" w:cstheme="minorHAnsi"/>
          <w:i/>
          <w:color w:val="000000"/>
          <w:sz w:val="24"/>
          <w:szCs w:val="24"/>
          <w:lang w:eastAsia="cs-CZ"/>
        </w:rPr>
        <w:t>.</w:t>
      </w:r>
    </w:p>
    <w:p w:rsidR="0066006E" w:rsidRPr="00D53AC3" w:rsidRDefault="0066006E" w:rsidP="00D53AC3">
      <w:pPr>
        <w:jc w:val="both"/>
        <w:rPr>
          <w:rFonts w:cstheme="minorHAnsi"/>
        </w:rPr>
      </w:pPr>
    </w:p>
    <w:sectPr w:rsidR="0066006E" w:rsidRPr="00D53AC3" w:rsidSect="000E48E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1CB" w:rsidRDefault="006431CB" w:rsidP="002E2E8C">
      <w:pPr>
        <w:spacing w:before="0" w:after="0" w:line="240" w:lineRule="auto"/>
      </w:pPr>
      <w:r>
        <w:separator/>
      </w:r>
    </w:p>
  </w:endnote>
  <w:endnote w:type="continuationSeparator" w:id="0">
    <w:p w:rsidR="006431CB" w:rsidRDefault="006431CB" w:rsidP="002E2E8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1CB" w:rsidRDefault="006431CB" w:rsidP="002E2E8C">
      <w:pPr>
        <w:spacing w:before="0" w:after="0" w:line="240" w:lineRule="auto"/>
      </w:pPr>
      <w:r>
        <w:separator/>
      </w:r>
    </w:p>
  </w:footnote>
  <w:footnote w:type="continuationSeparator" w:id="0">
    <w:p w:rsidR="006431CB" w:rsidRDefault="006431CB" w:rsidP="002E2E8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850C9"/>
    <w:multiLevelType w:val="multilevel"/>
    <w:tmpl w:val="EDA4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813972"/>
    <w:multiLevelType w:val="multilevel"/>
    <w:tmpl w:val="05062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B2199E"/>
    <w:multiLevelType w:val="multilevel"/>
    <w:tmpl w:val="093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DD1E00"/>
    <w:multiLevelType w:val="multilevel"/>
    <w:tmpl w:val="4D1E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53AC3"/>
    <w:rsid w:val="00042993"/>
    <w:rsid w:val="000E48E6"/>
    <w:rsid w:val="001609C1"/>
    <w:rsid w:val="00162E68"/>
    <w:rsid w:val="00171AE6"/>
    <w:rsid w:val="00242FB8"/>
    <w:rsid w:val="002840B9"/>
    <w:rsid w:val="002C0D66"/>
    <w:rsid w:val="002E2E8C"/>
    <w:rsid w:val="00301B5A"/>
    <w:rsid w:val="003E19E8"/>
    <w:rsid w:val="003F03B3"/>
    <w:rsid w:val="004A289E"/>
    <w:rsid w:val="005E715C"/>
    <w:rsid w:val="00605CAC"/>
    <w:rsid w:val="006431CB"/>
    <w:rsid w:val="0066006E"/>
    <w:rsid w:val="006A2A98"/>
    <w:rsid w:val="006A52AB"/>
    <w:rsid w:val="006E2248"/>
    <w:rsid w:val="00711CA6"/>
    <w:rsid w:val="00783B61"/>
    <w:rsid w:val="0080242B"/>
    <w:rsid w:val="008114DC"/>
    <w:rsid w:val="00847255"/>
    <w:rsid w:val="00854379"/>
    <w:rsid w:val="00921B51"/>
    <w:rsid w:val="00957119"/>
    <w:rsid w:val="00995A4F"/>
    <w:rsid w:val="00996998"/>
    <w:rsid w:val="009A663E"/>
    <w:rsid w:val="009B21E1"/>
    <w:rsid w:val="009D4807"/>
    <w:rsid w:val="00A1414C"/>
    <w:rsid w:val="00A560C9"/>
    <w:rsid w:val="00AA2094"/>
    <w:rsid w:val="00B2261F"/>
    <w:rsid w:val="00B33B70"/>
    <w:rsid w:val="00B85A09"/>
    <w:rsid w:val="00B96799"/>
    <w:rsid w:val="00CC3CDC"/>
    <w:rsid w:val="00CD75AA"/>
    <w:rsid w:val="00CE0674"/>
    <w:rsid w:val="00D53AC3"/>
    <w:rsid w:val="00DF4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42FB8"/>
    <w:rPr>
      <w:sz w:val="20"/>
      <w:szCs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242FB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2FB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42FB8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242FB8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42FB8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42FB8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42FB8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42FB8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42FB8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242FB8"/>
    <w:rPr>
      <w:caps/>
      <w:spacing w:val="15"/>
      <w:shd w:val="clear" w:color="auto" w:fill="D9E2F3" w:themeFill="accent1" w:themeFillTint="33"/>
    </w:rPr>
  </w:style>
  <w:style w:type="character" w:customStyle="1" w:styleId="Nadpis3Char">
    <w:name w:val="Nadpis 3 Char"/>
    <w:basedOn w:val="Standardnpsmoodstavce"/>
    <w:link w:val="Nadpis3"/>
    <w:uiPriority w:val="9"/>
    <w:rsid w:val="00242FB8"/>
    <w:rPr>
      <w:caps/>
      <w:color w:val="1F3763" w:themeColor="accent1" w:themeShade="7F"/>
      <w:spacing w:val="15"/>
    </w:rPr>
  </w:style>
  <w:style w:type="character" w:customStyle="1" w:styleId="Nadpis4Char">
    <w:name w:val="Nadpis 4 Char"/>
    <w:basedOn w:val="Standardnpsmoodstavce"/>
    <w:link w:val="Nadpis4"/>
    <w:uiPriority w:val="9"/>
    <w:rsid w:val="00242FB8"/>
    <w:rPr>
      <w:caps/>
      <w:color w:val="2F5496" w:themeColor="accent1" w:themeShade="BF"/>
      <w:spacing w:val="10"/>
    </w:rPr>
  </w:style>
  <w:style w:type="paragraph" w:styleId="Normlnweb">
    <w:name w:val="Normal (Web)"/>
    <w:basedOn w:val="Normln"/>
    <w:uiPriority w:val="99"/>
    <w:semiHidden/>
    <w:unhideWhenUsed/>
    <w:rsid w:val="00D53AC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character" w:customStyle="1" w:styleId="apple-converted-space">
    <w:name w:val="apple-converted-space"/>
    <w:basedOn w:val="Standardnpsmoodstavce"/>
    <w:rsid w:val="00D53AC3"/>
  </w:style>
  <w:style w:type="character" w:customStyle="1" w:styleId="mrel">
    <w:name w:val="mrel"/>
    <w:basedOn w:val="Standardnpsmoodstavce"/>
    <w:rsid w:val="00D53AC3"/>
  </w:style>
  <w:style w:type="character" w:customStyle="1" w:styleId="Nadpis1Char">
    <w:name w:val="Nadpis 1 Char"/>
    <w:basedOn w:val="Standardnpsmoodstavce"/>
    <w:link w:val="Nadpis1"/>
    <w:uiPriority w:val="9"/>
    <w:rsid w:val="00242FB8"/>
    <w:rPr>
      <w:b/>
      <w:bCs/>
      <w:caps/>
      <w:color w:val="FFFFFF" w:themeColor="background1"/>
      <w:spacing w:val="15"/>
      <w:shd w:val="clear" w:color="auto" w:fill="4472C4" w:themeFill="accent1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242FB8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242FB8"/>
    <w:rPr>
      <w:i/>
      <w:iCs/>
      <w:color w:val="4472C4" w:themeColor="accent1"/>
      <w:sz w:val="20"/>
      <w:szCs w:val="20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42FB8"/>
    <w:rPr>
      <w:caps/>
      <w:color w:val="2F5496" w:themeColor="accent1" w:themeShade="BF"/>
      <w:spacing w:val="1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42FB8"/>
    <w:rPr>
      <w:caps/>
      <w:color w:val="2F5496" w:themeColor="accent1" w:themeShade="BF"/>
      <w:spacing w:val="1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42FB8"/>
    <w:rPr>
      <w:caps/>
      <w:color w:val="2F5496" w:themeColor="accent1" w:themeShade="BF"/>
      <w:spacing w:val="10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42FB8"/>
    <w:rPr>
      <w:caps/>
      <w:spacing w:val="10"/>
      <w:sz w:val="18"/>
      <w:szCs w:val="1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42FB8"/>
    <w:rPr>
      <w:i/>
      <w:caps/>
      <w:spacing w:val="10"/>
      <w:sz w:val="18"/>
      <w:szCs w:val="18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242FB8"/>
    <w:rPr>
      <w:b/>
      <w:bCs/>
      <w:color w:val="2F5496" w:themeColor="accent1" w:themeShade="BF"/>
      <w:sz w:val="16"/>
      <w:szCs w:val="16"/>
    </w:rPr>
  </w:style>
  <w:style w:type="paragraph" w:styleId="Nzev">
    <w:name w:val="Title"/>
    <w:basedOn w:val="Normln"/>
    <w:next w:val="Normln"/>
    <w:link w:val="NzevChar"/>
    <w:uiPriority w:val="10"/>
    <w:qFormat/>
    <w:rsid w:val="00242FB8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242FB8"/>
    <w:rPr>
      <w:caps/>
      <w:color w:val="4472C4" w:themeColor="accent1"/>
      <w:spacing w:val="10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242FB8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242FB8"/>
    <w:rPr>
      <w:caps/>
      <w:color w:val="595959" w:themeColor="text1" w:themeTint="A6"/>
      <w:spacing w:val="10"/>
      <w:sz w:val="24"/>
      <w:szCs w:val="24"/>
    </w:rPr>
  </w:style>
  <w:style w:type="character" w:styleId="Siln">
    <w:name w:val="Strong"/>
    <w:uiPriority w:val="22"/>
    <w:qFormat/>
    <w:rsid w:val="00242FB8"/>
    <w:rPr>
      <w:b/>
      <w:bCs/>
    </w:rPr>
  </w:style>
  <w:style w:type="character" w:styleId="Zvraznn">
    <w:name w:val="Emphasis"/>
    <w:uiPriority w:val="20"/>
    <w:qFormat/>
    <w:rsid w:val="00242FB8"/>
    <w:rPr>
      <w:caps/>
      <w:color w:val="1F3763" w:themeColor="accent1" w:themeShade="7F"/>
      <w:spacing w:val="5"/>
    </w:rPr>
  </w:style>
  <w:style w:type="paragraph" w:styleId="Bezmezer">
    <w:name w:val="No Spacing"/>
    <w:basedOn w:val="Normln"/>
    <w:link w:val="BezmezerChar"/>
    <w:uiPriority w:val="1"/>
    <w:qFormat/>
    <w:rsid w:val="00242FB8"/>
    <w:pPr>
      <w:spacing w:before="0" w:after="0" w:line="240" w:lineRule="auto"/>
    </w:pPr>
  </w:style>
  <w:style w:type="character" w:customStyle="1" w:styleId="BezmezerChar">
    <w:name w:val="Bez mezer Char"/>
    <w:basedOn w:val="Standardnpsmoodstavce"/>
    <w:link w:val="Bezmezer"/>
    <w:uiPriority w:val="1"/>
    <w:rsid w:val="00242FB8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242FB8"/>
    <w:pPr>
      <w:ind w:left="720"/>
      <w:contextualSpacing/>
    </w:pPr>
  </w:style>
  <w:style w:type="paragraph" w:styleId="Citace">
    <w:name w:val="Quote"/>
    <w:basedOn w:val="Normln"/>
    <w:next w:val="Normln"/>
    <w:link w:val="CitaceChar"/>
    <w:uiPriority w:val="29"/>
    <w:qFormat/>
    <w:rsid w:val="00242FB8"/>
    <w:rPr>
      <w:i/>
      <w:iCs/>
    </w:rPr>
  </w:style>
  <w:style w:type="character" w:customStyle="1" w:styleId="CitaceChar">
    <w:name w:val="Citace Char"/>
    <w:basedOn w:val="Standardnpsmoodstavce"/>
    <w:link w:val="Citace"/>
    <w:uiPriority w:val="29"/>
    <w:rsid w:val="00242FB8"/>
    <w:rPr>
      <w:i/>
      <w:iCs/>
      <w:sz w:val="20"/>
      <w:szCs w:val="20"/>
    </w:rPr>
  </w:style>
  <w:style w:type="character" w:styleId="Zdraznnjemn">
    <w:name w:val="Subtle Emphasis"/>
    <w:uiPriority w:val="19"/>
    <w:qFormat/>
    <w:rsid w:val="00242FB8"/>
    <w:rPr>
      <w:i/>
      <w:iCs/>
      <w:color w:val="1F3763" w:themeColor="accent1" w:themeShade="7F"/>
    </w:rPr>
  </w:style>
  <w:style w:type="character" w:styleId="Zdraznnintenzivn">
    <w:name w:val="Intense Emphasis"/>
    <w:uiPriority w:val="21"/>
    <w:qFormat/>
    <w:rsid w:val="00242FB8"/>
    <w:rPr>
      <w:b/>
      <w:bCs/>
      <w:caps/>
      <w:color w:val="1F3763" w:themeColor="accent1" w:themeShade="7F"/>
      <w:spacing w:val="10"/>
    </w:rPr>
  </w:style>
  <w:style w:type="character" w:styleId="Odkazjemn">
    <w:name w:val="Subtle Reference"/>
    <w:uiPriority w:val="31"/>
    <w:qFormat/>
    <w:rsid w:val="00242FB8"/>
    <w:rPr>
      <w:b/>
      <w:bCs/>
      <w:color w:val="4472C4" w:themeColor="accent1"/>
    </w:rPr>
  </w:style>
  <w:style w:type="character" w:styleId="Odkazintenzivn">
    <w:name w:val="Intense Reference"/>
    <w:uiPriority w:val="32"/>
    <w:qFormat/>
    <w:rsid w:val="00242FB8"/>
    <w:rPr>
      <w:b/>
      <w:bCs/>
      <w:i/>
      <w:iCs/>
      <w:caps/>
      <w:color w:val="4472C4" w:themeColor="accent1"/>
    </w:rPr>
  </w:style>
  <w:style w:type="character" w:styleId="Nzevknihy">
    <w:name w:val="Book Title"/>
    <w:uiPriority w:val="33"/>
    <w:qFormat/>
    <w:rsid w:val="00242FB8"/>
    <w:rPr>
      <w:b/>
      <w:bCs/>
      <w:i/>
      <w:iCs/>
      <w:spacing w:val="9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242FB8"/>
    <w:pPr>
      <w:outlineLvl w:val="9"/>
    </w:pPr>
  </w:style>
  <w:style w:type="table" w:customStyle="1" w:styleId="GridTable1LightAccent1">
    <w:name w:val="Grid Table 1 Light Accent 1"/>
    <w:basedOn w:val="Normlntabulka"/>
    <w:uiPriority w:val="46"/>
    <w:rsid w:val="00CC3C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Normlntabulka"/>
    <w:uiPriority w:val="46"/>
    <w:rsid w:val="00CC3C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katabulky">
    <w:name w:val="Table Grid"/>
    <w:basedOn w:val="Normlntabulka"/>
    <w:uiPriority w:val="39"/>
    <w:rsid w:val="002E2E8C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2E2E8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E2E8C"/>
    <w:rPr>
      <w:sz w:val="20"/>
      <w:szCs w:val="20"/>
    </w:rPr>
  </w:style>
  <w:style w:type="paragraph" w:styleId="Zpat">
    <w:name w:val="footer"/>
    <w:basedOn w:val="Normln"/>
    <w:link w:val="ZpatChar"/>
    <w:uiPriority w:val="99"/>
    <w:unhideWhenUsed/>
    <w:rsid w:val="002E2E8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E2E8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0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7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28A4E0D-E531-B349-8B5B-DC4CC548B06A}">
  <we:reference id="wa200005502" version="1.0.0.13" store="cs-CZ" storeType="OMEX"/>
  <we:alternateReferences>
    <we:reference id="wa200005502" version="1.0.0.13" store="wa200005502" storeType="OMEX"/>
  </we:alternateReferences>
  <we:properties>
    <we:property name="docId" value="&quot;OFDxejQbBXbIoeH3BkBeJ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07B2ED-7602-4C9F-BA24-A677B5E5F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592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Musil</dc:creator>
  <cp:lastModifiedBy>bartak49706</cp:lastModifiedBy>
  <cp:revision>5</cp:revision>
  <dcterms:created xsi:type="dcterms:W3CDTF">2026-06-20T19:26:00Z</dcterms:created>
  <dcterms:modified xsi:type="dcterms:W3CDTF">2026-07-01T20:54:00Z</dcterms:modified>
</cp:coreProperties>
</file>